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087" w:rsidRPr="00332087" w:rsidRDefault="00332087" w:rsidP="00332087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 w:themeColor="text1"/>
          <w:kern w:val="36"/>
          <w:sz w:val="24"/>
          <w:szCs w:val="24"/>
          <w:lang w:eastAsia="ru-RU"/>
        </w:rPr>
      </w:pPr>
      <w:r w:rsidRPr="00332087">
        <w:rPr>
          <w:rFonts w:ascii="Times New Roman" w:eastAsia="Times New Roman" w:hAnsi="Times New Roman" w:cs="Times New Roman"/>
          <w:b/>
          <w:bCs/>
          <w:i/>
          <w:color w:val="000000" w:themeColor="text1"/>
          <w:kern w:val="36"/>
          <w:sz w:val="24"/>
          <w:szCs w:val="24"/>
          <w:lang w:eastAsia="ru-RU"/>
        </w:rPr>
        <w:t>Что такое реакция Манту</w:t>
      </w:r>
    </w:p>
    <w:p w:rsidR="00332087" w:rsidRPr="00332087" w:rsidRDefault="00332087" w:rsidP="00332087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i/>
          <w:color w:val="000000" w:themeColor="text1"/>
          <w:kern w:val="36"/>
          <w:szCs w:val="24"/>
          <w:lang w:eastAsia="ru-RU"/>
        </w:rPr>
      </w:pPr>
    </w:p>
    <w:p w:rsidR="00132E77" w:rsidRDefault="00132E77" w:rsidP="003320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ru-RU"/>
        </w:rPr>
      </w:pPr>
      <w:r w:rsidRPr="00132E77"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ru-RU"/>
        </w:rPr>
        <w:t>На сегодняшний день профилактика туберкулеза абсолютно необходима и проводится на государственном уровне. В первую очередь это прививка БЦЖ. Она делается новорожденному еще в роддоме на первой неделе его жизни, если к этому нет противопоказаний. БЦЖ не предотвращает инфицирование туберкулезной палочкой, но способствует выработке иммунитета. Для контроля восприимчивости организма к инфекции, начиная с первого года, а далее ежегодно детям делают пробу Манту.</w:t>
      </w:r>
    </w:p>
    <w:p w:rsidR="00332087" w:rsidRPr="00332087" w:rsidRDefault="00132E77" w:rsidP="003320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ru-RU"/>
        </w:rPr>
      </w:pPr>
      <w:r w:rsidRPr="00132E77"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ru-RU"/>
        </w:rPr>
        <w:t xml:space="preserve">Туберкулиновая проба Манту </w:t>
      </w:r>
      <w:r w:rsidR="00406267"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ru-RU"/>
        </w:rPr>
        <w:t>–</w:t>
      </w:r>
      <w:r w:rsidRPr="00132E77"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ru-RU"/>
        </w:rPr>
        <w:t xml:space="preserve"> кожная проба, направленная на выявление наличия специфического иммунного ответа на введение туберкулина.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ru-RU"/>
        </w:rPr>
        <w:t xml:space="preserve"> Это</w:t>
      </w:r>
      <w:r w:rsidR="00332087" w:rsidRPr="00332087"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ru-RU"/>
        </w:rPr>
        <w:t xml:space="preserve"> иммунологический тест показывает присутствие туберкулезной инфекции в организме человека.</w:t>
      </w:r>
      <w:r w:rsidRPr="00132E77">
        <w:t xml:space="preserve"> </w:t>
      </w:r>
      <w:r w:rsidRPr="00132E77"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ru-RU"/>
        </w:rPr>
        <w:t>Реакция на пробу позволяет судить о том, столкнулся ли ребенок до сих пор с палочкой туберкулеза, выработался ли на нее иммунитет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ru-RU"/>
        </w:rPr>
        <w:t>.</w:t>
      </w:r>
    </w:p>
    <w:p w:rsidR="00332087" w:rsidRPr="00332087" w:rsidRDefault="00132E77" w:rsidP="003320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ru-RU"/>
        </w:rPr>
      </w:pPr>
      <w:r w:rsidRPr="00132E77"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ru-RU"/>
        </w:rPr>
        <w:t>Реакция на пробу Манту оценивается через трое суток после инъекции. Реакция проявляется в образовании папулы (округлый участок повышенной плотности, возвышающийся над кожей) и в покраснении кожи. Учет реакции состоит из визуальной оценки покраснения (гиперемии) и измерения папулы.</w:t>
      </w:r>
    </w:p>
    <w:p w:rsidR="00332087" w:rsidRPr="00332087" w:rsidRDefault="00332087" w:rsidP="003320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4"/>
          <w:u w:val="single"/>
          <w:lang w:eastAsia="ru-RU"/>
        </w:rPr>
      </w:pPr>
      <w:r w:rsidRPr="00332087"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4"/>
          <w:u w:val="single"/>
          <w:lang w:eastAsia="ru-RU"/>
        </w:rPr>
        <w:t>Первая Манту ставится в год</w:t>
      </w:r>
    </w:p>
    <w:p w:rsidR="00332087" w:rsidRPr="00332087" w:rsidRDefault="00332087" w:rsidP="003320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ru-RU"/>
        </w:rPr>
      </w:pPr>
      <w:r w:rsidRPr="00332087"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ru-RU"/>
        </w:rPr>
        <w:t>Каждый год всем здоровым детям и подросткам, начиная с 12-ти месяцев, проводят обследование при помощи пробы Манту.</w:t>
      </w:r>
    </w:p>
    <w:p w:rsidR="00332087" w:rsidRPr="00332087" w:rsidRDefault="00332087" w:rsidP="003320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4"/>
          <w:u w:val="single"/>
          <w:lang w:eastAsia="ru-RU"/>
        </w:rPr>
      </w:pPr>
      <w:r w:rsidRPr="00332087"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4"/>
          <w:u w:val="single"/>
          <w:lang w:eastAsia="ru-RU"/>
        </w:rPr>
        <w:t>Уход за «пуговкой»</w:t>
      </w:r>
    </w:p>
    <w:p w:rsidR="00332087" w:rsidRPr="00332087" w:rsidRDefault="00332087" w:rsidP="003320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ru-RU"/>
        </w:rPr>
      </w:pPr>
      <w:r w:rsidRPr="00332087"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ru-RU"/>
        </w:rPr>
        <w:t xml:space="preserve">После того, как туберкулин введут в организм, образуется взбухание верхнего слоя - пуговка. Если неправильно ухаживать за ней, то можно получить не точный результат. Пока вы не получили результата не нужно мазать перекисью или зеленкой пуговку. Нужно избегать любого контакта с водой и любыми жидкостями. Не заклеивайте пуговку лейкопластырем, под ним потеет кожа. Следите за тем, чтобы ребенок не чесал прививку. </w:t>
      </w:r>
    </w:p>
    <w:p w:rsidR="00406267" w:rsidRPr="00406267" w:rsidRDefault="00406267" w:rsidP="004062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4"/>
          <w:u w:val="single"/>
          <w:lang w:eastAsia="ru-RU"/>
        </w:rPr>
      </w:pPr>
      <w:r w:rsidRPr="00406267"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4"/>
          <w:u w:val="single"/>
          <w:lang w:eastAsia="ru-RU"/>
        </w:rPr>
        <w:t>Возможны следующие варианты реакции:</w:t>
      </w:r>
    </w:p>
    <w:p w:rsidR="00406267" w:rsidRPr="00406267" w:rsidRDefault="00406267" w:rsidP="0040626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color w:val="000000" w:themeColor="text1"/>
          <w:sz w:val="20"/>
          <w:szCs w:val="24"/>
          <w:lang w:eastAsia="ru-RU"/>
        </w:rPr>
      </w:pPr>
      <w:r w:rsidRPr="00406267">
        <w:rPr>
          <w:rFonts w:ascii="Times New Roman" w:eastAsia="Times New Roman" w:hAnsi="Times New Roman" w:cs="Times New Roman"/>
          <w:bCs/>
          <w:color w:val="000000" w:themeColor="text1"/>
          <w:sz w:val="20"/>
          <w:szCs w:val="24"/>
          <w:lang w:eastAsia="ru-RU"/>
        </w:rPr>
        <w:t>отрицательная (изменения на коже отсутствуют);</w:t>
      </w:r>
    </w:p>
    <w:p w:rsidR="00406267" w:rsidRPr="00406267" w:rsidRDefault="00406267" w:rsidP="0040626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color w:val="000000" w:themeColor="text1"/>
          <w:sz w:val="20"/>
          <w:szCs w:val="24"/>
          <w:lang w:eastAsia="ru-RU"/>
        </w:rPr>
      </w:pPr>
      <w:r w:rsidRPr="00406267">
        <w:rPr>
          <w:rFonts w:ascii="Times New Roman" w:eastAsia="Times New Roman" w:hAnsi="Times New Roman" w:cs="Times New Roman"/>
          <w:bCs/>
          <w:color w:val="000000" w:themeColor="text1"/>
          <w:sz w:val="20"/>
          <w:szCs w:val="24"/>
          <w:lang w:eastAsia="ru-RU"/>
        </w:rPr>
        <w:t>сомнительная (имеется покраснение любого размера без папулы или размер папулы не превышает 2-4 мм);</w:t>
      </w:r>
    </w:p>
    <w:p w:rsidR="00406267" w:rsidRPr="00406267" w:rsidRDefault="00406267" w:rsidP="0040626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color w:val="000000" w:themeColor="text1"/>
          <w:sz w:val="20"/>
          <w:szCs w:val="24"/>
          <w:lang w:eastAsia="ru-RU"/>
        </w:rPr>
      </w:pPr>
      <w:r w:rsidRPr="00406267">
        <w:rPr>
          <w:rFonts w:ascii="Times New Roman" w:eastAsia="Times New Roman" w:hAnsi="Times New Roman" w:cs="Times New Roman"/>
          <w:bCs/>
          <w:color w:val="000000" w:themeColor="text1"/>
          <w:sz w:val="20"/>
          <w:szCs w:val="24"/>
          <w:lang w:eastAsia="ru-RU"/>
        </w:rPr>
        <w:t>положительная слабовыраженная (диаметр папулы 5-9 мм);</w:t>
      </w:r>
    </w:p>
    <w:p w:rsidR="00406267" w:rsidRPr="00406267" w:rsidRDefault="00406267" w:rsidP="0040626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color w:val="000000" w:themeColor="text1"/>
          <w:sz w:val="20"/>
          <w:szCs w:val="24"/>
          <w:lang w:eastAsia="ru-RU"/>
        </w:rPr>
      </w:pPr>
      <w:r w:rsidRPr="00406267">
        <w:rPr>
          <w:rFonts w:ascii="Times New Roman" w:eastAsia="Times New Roman" w:hAnsi="Times New Roman" w:cs="Times New Roman"/>
          <w:bCs/>
          <w:color w:val="000000" w:themeColor="text1"/>
          <w:sz w:val="20"/>
          <w:szCs w:val="24"/>
          <w:lang w:eastAsia="ru-RU"/>
        </w:rPr>
        <w:t>положительная средней интенсивности (диаметр папулы 10-14 мм);</w:t>
      </w:r>
    </w:p>
    <w:p w:rsidR="00406267" w:rsidRPr="00406267" w:rsidRDefault="00406267" w:rsidP="0040626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color w:val="000000" w:themeColor="text1"/>
          <w:sz w:val="20"/>
          <w:szCs w:val="24"/>
          <w:lang w:eastAsia="ru-RU"/>
        </w:rPr>
      </w:pPr>
      <w:r w:rsidRPr="00406267">
        <w:rPr>
          <w:rFonts w:ascii="Times New Roman" w:eastAsia="Times New Roman" w:hAnsi="Times New Roman" w:cs="Times New Roman"/>
          <w:bCs/>
          <w:color w:val="000000" w:themeColor="text1"/>
          <w:sz w:val="20"/>
          <w:szCs w:val="24"/>
          <w:lang w:eastAsia="ru-RU"/>
        </w:rPr>
        <w:t>положительная выраженная (диаметр папулы 15-16 мм);</w:t>
      </w:r>
    </w:p>
    <w:p w:rsidR="00406267" w:rsidRPr="00406267" w:rsidRDefault="00406267" w:rsidP="0040626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ru-RU"/>
        </w:rPr>
      </w:pPr>
      <w:r w:rsidRPr="00406267">
        <w:rPr>
          <w:rFonts w:ascii="Times New Roman" w:eastAsia="Times New Roman" w:hAnsi="Times New Roman" w:cs="Times New Roman"/>
          <w:bCs/>
          <w:color w:val="000000" w:themeColor="text1"/>
          <w:sz w:val="20"/>
          <w:szCs w:val="24"/>
          <w:lang w:eastAsia="ru-RU"/>
        </w:rPr>
        <w:t xml:space="preserve">чрезмерная или </w:t>
      </w:r>
      <w:proofErr w:type="spellStart"/>
      <w:r w:rsidRPr="00406267">
        <w:rPr>
          <w:rFonts w:ascii="Times New Roman" w:eastAsia="Times New Roman" w:hAnsi="Times New Roman" w:cs="Times New Roman"/>
          <w:bCs/>
          <w:color w:val="000000" w:themeColor="text1"/>
          <w:sz w:val="20"/>
          <w:szCs w:val="24"/>
          <w:lang w:eastAsia="ru-RU"/>
        </w:rPr>
        <w:t>гиперергическая</w:t>
      </w:r>
      <w:proofErr w:type="spellEnd"/>
      <w:r w:rsidRPr="00406267">
        <w:rPr>
          <w:rFonts w:ascii="Times New Roman" w:eastAsia="Times New Roman" w:hAnsi="Times New Roman" w:cs="Times New Roman"/>
          <w:bCs/>
          <w:color w:val="000000" w:themeColor="text1"/>
          <w:sz w:val="20"/>
          <w:szCs w:val="24"/>
          <w:lang w:eastAsia="ru-RU"/>
        </w:rPr>
        <w:t xml:space="preserve"> (диаметр папулы превышает 17 мм или имеются выраженные признаки воспаления, как-то реакция лимфоузлов, изъязвление кожи и т. п.).</w:t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4"/>
          <w:lang w:eastAsia="ru-RU"/>
        </w:rPr>
        <w:t xml:space="preserve"> </w:t>
      </w:r>
    </w:p>
    <w:p w:rsidR="00406267" w:rsidRPr="00406267" w:rsidRDefault="00406267" w:rsidP="00406267">
      <w:pPr>
        <w:pStyle w:val="a3"/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ru-RU"/>
        </w:rPr>
      </w:pPr>
      <w:r w:rsidRPr="00406267"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ru-RU"/>
        </w:rPr>
        <w:t>Варианты реакции на пробу Манту интерпретируются медицинским персоналом учреждения, в котором проводилась проба.</w:t>
      </w:r>
    </w:p>
    <w:p w:rsidR="00332087" w:rsidRPr="00406267" w:rsidRDefault="00332087" w:rsidP="00406267">
      <w:pPr>
        <w:pStyle w:val="a3"/>
        <w:shd w:val="clear" w:color="auto" w:fill="FFFFFF"/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4"/>
          <w:u w:val="single"/>
          <w:lang w:eastAsia="ru-RU"/>
        </w:rPr>
      </w:pPr>
      <w:r w:rsidRPr="00406267"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4"/>
          <w:u w:val="single"/>
          <w:lang w:eastAsia="ru-RU"/>
        </w:rPr>
        <w:t>Когда необходимо обратиться к фтизиатру?</w:t>
      </w:r>
    </w:p>
    <w:p w:rsidR="00343A4A" w:rsidRDefault="00406267" w:rsidP="003320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ru-RU"/>
        </w:rPr>
      </w:pPr>
      <w:r w:rsidRPr="00406267"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ru-RU"/>
        </w:rPr>
        <w:t>Инфицирование микобактериями туберкулеза не означает развитие болезни. Признаки инфицирования являются рекомендацией для наблюдения ребенка у фтизиатра, возможно назначение терапии и повторной пробы Манту по истечению указанного срока. Проба Манту не позволяет диагностировать туберкулез, это ориентировочный тест, который демонстрирует, сталкивался ли организм с туберкулезной палочкой и выработались ли в ответ на это в нем антитела.</w:t>
      </w:r>
      <w:r w:rsidR="00332087" w:rsidRPr="00332087"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ru-RU"/>
        </w:rPr>
        <w:t> </w:t>
      </w:r>
    </w:p>
    <w:p w:rsidR="00406267" w:rsidRPr="00406267" w:rsidRDefault="00406267" w:rsidP="0040626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0"/>
          <w:szCs w:val="24"/>
          <w:u w:val="single"/>
        </w:rPr>
      </w:pPr>
      <w:r w:rsidRPr="00406267">
        <w:rPr>
          <w:rFonts w:ascii="Times New Roman" w:hAnsi="Times New Roman" w:cs="Times New Roman"/>
          <w:i/>
          <w:color w:val="000000" w:themeColor="text1"/>
          <w:sz w:val="20"/>
          <w:szCs w:val="24"/>
          <w:u w:val="single"/>
        </w:rPr>
        <w:t>Абсолютными противопоказаниями к проведению Манту считаются:</w:t>
      </w:r>
    </w:p>
    <w:p w:rsidR="00406267" w:rsidRPr="00406267" w:rsidRDefault="00406267" w:rsidP="00406267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406267">
        <w:rPr>
          <w:rFonts w:ascii="Times New Roman" w:hAnsi="Times New Roman" w:cs="Times New Roman"/>
          <w:color w:val="000000" w:themeColor="text1"/>
          <w:sz w:val="20"/>
          <w:szCs w:val="24"/>
        </w:rPr>
        <w:t>кожные заболевания;</w:t>
      </w:r>
    </w:p>
    <w:p w:rsidR="00406267" w:rsidRPr="00406267" w:rsidRDefault="00406267" w:rsidP="00406267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406267">
        <w:rPr>
          <w:rFonts w:ascii="Times New Roman" w:hAnsi="Times New Roman" w:cs="Times New Roman"/>
          <w:color w:val="000000" w:themeColor="text1"/>
          <w:sz w:val="20"/>
          <w:szCs w:val="24"/>
        </w:rPr>
        <w:t>острые инфекционные заболевания;</w:t>
      </w:r>
    </w:p>
    <w:p w:rsidR="00406267" w:rsidRPr="00406267" w:rsidRDefault="00406267" w:rsidP="00406267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406267">
        <w:rPr>
          <w:rFonts w:ascii="Times New Roman" w:hAnsi="Times New Roman" w:cs="Times New Roman"/>
          <w:color w:val="000000" w:themeColor="text1"/>
          <w:sz w:val="20"/>
          <w:szCs w:val="24"/>
        </w:rPr>
        <w:t>хронические заболевания в период обострения;</w:t>
      </w:r>
    </w:p>
    <w:p w:rsidR="00406267" w:rsidRPr="00406267" w:rsidRDefault="00406267" w:rsidP="00406267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406267">
        <w:rPr>
          <w:rFonts w:ascii="Times New Roman" w:hAnsi="Times New Roman" w:cs="Times New Roman"/>
          <w:color w:val="000000" w:themeColor="text1"/>
          <w:sz w:val="20"/>
          <w:szCs w:val="24"/>
        </w:rPr>
        <w:t>аллергические состояния, ревматизм, бронхиальная астма.</w:t>
      </w:r>
    </w:p>
    <w:p w:rsidR="00406267" w:rsidRDefault="00406267" w:rsidP="00406267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000000" w:themeColor="text1"/>
          <w:sz w:val="20"/>
          <w:szCs w:val="24"/>
        </w:rPr>
      </w:pPr>
    </w:p>
    <w:p w:rsidR="00406267" w:rsidRPr="00406267" w:rsidRDefault="00406267" w:rsidP="00406267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0"/>
          <w:szCs w:val="24"/>
        </w:rPr>
      </w:pPr>
      <w:r w:rsidRPr="00406267">
        <w:rPr>
          <w:rFonts w:ascii="Times New Roman" w:hAnsi="Times New Roman" w:cs="Times New Roman"/>
          <w:i/>
          <w:color w:val="000000" w:themeColor="text1"/>
          <w:sz w:val="20"/>
          <w:szCs w:val="24"/>
        </w:rPr>
        <w:t>Родителям следует понимать, что проба позволяет сделать вывод о том, насколько чувствительным является организм к туберкулезной инфекции. Важно понимать, что заразиться от такой инъекции нельзя. В организм вводятся мертвые бактерии туберкулеза, они организ</w:t>
      </w:r>
      <w:r w:rsidR="00EB2483">
        <w:rPr>
          <w:rFonts w:ascii="Times New Roman" w:hAnsi="Times New Roman" w:cs="Times New Roman"/>
          <w:i/>
          <w:color w:val="000000" w:themeColor="text1"/>
          <w:sz w:val="20"/>
          <w:szCs w:val="24"/>
        </w:rPr>
        <w:t>м инфицировать не могут</w:t>
      </w:r>
      <w:bookmarkStart w:id="0" w:name="_GoBack"/>
      <w:bookmarkEnd w:id="0"/>
      <w:r w:rsidRPr="00406267">
        <w:rPr>
          <w:rFonts w:ascii="Times New Roman" w:hAnsi="Times New Roman" w:cs="Times New Roman"/>
          <w:i/>
          <w:color w:val="000000" w:themeColor="text1"/>
          <w:sz w:val="20"/>
          <w:szCs w:val="24"/>
        </w:rPr>
        <w:t>.</w:t>
      </w:r>
    </w:p>
    <w:p w:rsidR="00A239D3" w:rsidRDefault="00A239D3" w:rsidP="003320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</w:rPr>
      </w:pPr>
    </w:p>
    <w:p w:rsidR="00A239D3" w:rsidRDefault="00A239D3" w:rsidP="003320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</w:rPr>
      </w:pPr>
    </w:p>
    <w:p w:rsidR="00A239D3" w:rsidRDefault="00A239D3" w:rsidP="003320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</w:rPr>
      </w:pPr>
    </w:p>
    <w:tbl>
      <w:tblPr>
        <w:tblW w:w="9385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936"/>
        <w:gridCol w:w="2330"/>
        <w:gridCol w:w="3119"/>
      </w:tblGrid>
      <w:tr w:rsidR="00343A4A" w:rsidRPr="00343A4A" w:rsidTr="00A863E5">
        <w:tc>
          <w:tcPr>
            <w:tcW w:w="3936" w:type="dxa"/>
            <w:tcBorders>
              <w:bottom w:val="nil"/>
            </w:tcBorders>
          </w:tcPr>
          <w:p w:rsidR="00343A4A" w:rsidRPr="00CB212E" w:rsidRDefault="00343A4A" w:rsidP="00FA5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Врач по гигиене детей и подростков филиала Федерального бюджетного учреждения здравоохранения «Центр гигиены и эпидемиологии в Свердловской области в Чкаловском районе города Екатеринбурга, городе Полевской и Сысертском районе»</w:t>
            </w:r>
          </w:p>
        </w:tc>
        <w:tc>
          <w:tcPr>
            <w:tcW w:w="2330" w:type="dxa"/>
            <w:tcBorders>
              <w:left w:val="nil"/>
              <w:bottom w:val="nil"/>
            </w:tcBorders>
          </w:tcPr>
          <w:p w:rsidR="00343A4A" w:rsidRPr="00343A4A" w:rsidRDefault="00343A4A" w:rsidP="003320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119" w:type="dxa"/>
            <w:tcBorders>
              <w:left w:val="nil"/>
              <w:bottom w:val="nil"/>
            </w:tcBorders>
            <w:vAlign w:val="bottom"/>
          </w:tcPr>
          <w:p w:rsidR="00343A4A" w:rsidRPr="00343A4A" w:rsidRDefault="00343A4A" w:rsidP="00332087">
            <w:pPr>
              <w:spacing w:after="0" w:line="240" w:lineRule="auto"/>
              <w:ind w:left="-187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Нестерова 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343A4A" w:rsidRDefault="00343A4A" w:rsidP="003320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</w:rPr>
      </w:pPr>
    </w:p>
    <w:tbl>
      <w:tblPr>
        <w:tblW w:w="9385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936"/>
        <w:gridCol w:w="2330"/>
        <w:gridCol w:w="3119"/>
      </w:tblGrid>
      <w:tr w:rsidR="00343A4A" w:rsidRPr="00343A4A" w:rsidTr="00343A4A">
        <w:tc>
          <w:tcPr>
            <w:tcW w:w="3936" w:type="dxa"/>
            <w:tcBorders>
              <w:bottom w:val="nil"/>
            </w:tcBorders>
          </w:tcPr>
          <w:p w:rsidR="00343A4A" w:rsidRPr="00CB212E" w:rsidRDefault="00343A4A" w:rsidP="00332087">
            <w:pPr>
              <w:spacing w:after="0" w:line="240" w:lineRule="auto"/>
              <w:ind w:hanging="74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Согласованно:</w:t>
            </w:r>
          </w:p>
          <w:p w:rsidR="00343A4A" w:rsidRPr="00CB212E" w:rsidRDefault="00343A4A" w:rsidP="00332087">
            <w:pPr>
              <w:spacing w:after="0" w:line="240" w:lineRule="auto"/>
              <w:ind w:hanging="74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Главный государственный санитарный врач</w:t>
            </w:r>
          </w:p>
          <w:p w:rsidR="00343A4A" w:rsidRPr="00CB212E" w:rsidRDefault="00343A4A" w:rsidP="00332087">
            <w:pPr>
              <w:spacing w:after="0" w:line="240" w:lineRule="auto"/>
              <w:ind w:hanging="74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Чкаловском районе города Екатеринбурга,</w:t>
            </w:r>
          </w:p>
          <w:p w:rsidR="00343A4A" w:rsidRPr="00CB212E" w:rsidRDefault="00343A4A" w:rsidP="00332087">
            <w:pPr>
              <w:spacing w:after="0" w:line="240" w:lineRule="auto"/>
              <w:ind w:hanging="74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городе Полевской и в Сысертском районе</w:t>
            </w:r>
          </w:p>
          <w:p w:rsidR="00343A4A" w:rsidRPr="00CB212E" w:rsidRDefault="00343A4A" w:rsidP="00332087">
            <w:pPr>
              <w:spacing w:after="0" w:line="240" w:lineRule="auto"/>
              <w:ind w:hanging="74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начальник территориального отдела</w:t>
            </w:r>
          </w:p>
          <w:p w:rsidR="00343A4A" w:rsidRPr="00CB212E" w:rsidRDefault="00343A4A" w:rsidP="00332087">
            <w:pPr>
              <w:spacing w:after="0" w:line="240" w:lineRule="auto"/>
              <w:ind w:hanging="74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Управления Роспотребнадзора</w:t>
            </w:r>
          </w:p>
          <w:p w:rsidR="00343A4A" w:rsidRPr="00CB212E" w:rsidRDefault="00343A4A" w:rsidP="00332087">
            <w:pPr>
              <w:spacing w:after="0" w:line="240" w:lineRule="auto"/>
              <w:ind w:hanging="74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по Свердловской области</w:t>
            </w:r>
          </w:p>
          <w:p w:rsidR="00343A4A" w:rsidRPr="00CB212E" w:rsidRDefault="00343A4A" w:rsidP="00332087">
            <w:pPr>
              <w:spacing w:after="0" w:line="240" w:lineRule="auto"/>
              <w:ind w:hanging="74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Чкаловском районе города Екатеринбурга,</w:t>
            </w:r>
          </w:p>
          <w:p w:rsidR="00343A4A" w:rsidRPr="00CB212E" w:rsidRDefault="00343A4A" w:rsidP="00332087">
            <w:pPr>
              <w:spacing w:after="0" w:line="240" w:lineRule="auto"/>
              <w:ind w:hanging="74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городе Полевской и в Сысертском районе</w:t>
            </w:r>
          </w:p>
        </w:tc>
        <w:tc>
          <w:tcPr>
            <w:tcW w:w="2330" w:type="dxa"/>
            <w:tcBorders>
              <w:left w:val="nil"/>
              <w:bottom w:val="nil"/>
            </w:tcBorders>
          </w:tcPr>
          <w:p w:rsidR="00343A4A" w:rsidRPr="00343A4A" w:rsidRDefault="00343A4A" w:rsidP="003320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119" w:type="dxa"/>
            <w:tcBorders>
              <w:left w:val="nil"/>
              <w:bottom w:val="nil"/>
            </w:tcBorders>
            <w:vAlign w:val="bottom"/>
          </w:tcPr>
          <w:p w:rsidR="00343A4A" w:rsidRPr="00343A4A" w:rsidRDefault="00343A4A" w:rsidP="00332087">
            <w:pPr>
              <w:spacing w:after="0" w:line="240" w:lineRule="auto"/>
              <w:ind w:left="-187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Потапкина</w:t>
            </w:r>
            <w:proofErr w:type="spellEnd"/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Е.П.</w:t>
            </w:r>
          </w:p>
        </w:tc>
      </w:tr>
    </w:tbl>
    <w:p w:rsidR="00343A4A" w:rsidRPr="00343A4A" w:rsidRDefault="00343A4A" w:rsidP="003320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</w:rPr>
      </w:pPr>
    </w:p>
    <w:sectPr w:rsidR="00343A4A" w:rsidRPr="00343A4A" w:rsidSect="00406267">
      <w:pgSz w:w="11906" w:h="16838"/>
      <w:pgMar w:top="568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23B14"/>
    <w:multiLevelType w:val="hybridMultilevel"/>
    <w:tmpl w:val="455C647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8F36166"/>
    <w:multiLevelType w:val="hybridMultilevel"/>
    <w:tmpl w:val="886872A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E885E4F"/>
    <w:multiLevelType w:val="hybridMultilevel"/>
    <w:tmpl w:val="AF68D4A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2E9169B"/>
    <w:multiLevelType w:val="hybridMultilevel"/>
    <w:tmpl w:val="D66C7B9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7E7"/>
    <w:rsid w:val="00132E77"/>
    <w:rsid w:val="00332087"/>
    <w:rsid w:val="00343A4A"/>
    <w:rsid w:val="00374B2E"/>
    <w:rsid w:val="00406267"/>
    <w:rsid w:val="00462D0A"/>
    <w:rsid w:val="004654EB"/>
    <w:rsid w:val="00482F75"/>
    <w:rsid w:val="004A77FA"/>
    <w:rsid w:val="005D3DE0"/>
    <w:rsid w:val="006B388A"/>
    <w:rsid w:val="00A239D3"/>
    <w:rsid w:val="00A863E5"/>
    <w:rsid w:val="00B720B5"/>
    <w:rsid w:val="00CB212E"/>
    <w:rsid w:val="00D017E7"/>
    <w:rsid w:val="00EB2483"/>
    <w:rsid w:val="00FA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AAECB7-747A-42C8-B4CB-0C2D3932D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A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63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63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Ю. Никифорова</dc:creator>
  <cp:keywords/>
  <dc:description/>
  <cp:lastModifiedBy>Наталия П. Малина</cp:lastModifiedBy>
  <cp:revision>8</cp:revision>
  <cp:lastPrinted>2018-06-05T06:21:00Z</cp:lastPrinted>
  <dcterms:created xsi:type="dcterms:W3CDTF">2018-07-13T04:53:00Z</dcterms:created>
  <dcterms:modified xsi:type="dcterms:W3CDTF">2018-11-17T08:23:00Z</dcterms:modified>
</cp:coreProperties>
</file>